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870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Постовалова Т.П., и.о. мирового судьи судебного участка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(628309, ХМАО-Югра, г. Нефтеюганск, 1 мкр-н, дом 30), рассмотре</w:t>
      </w:r>
      <w:r>
        <w:rPr>
          <w:rFonts w:ascii="Times New Roman" w:eastAsia="Times New Roman" w:hAnsi="Times New Roman" w:cs="Times New Roman"/>
          <w:sz w:val="26"/>
          <w:szCs w:val="26"/>
        </w:rPr>
        <w:t>в в открытом судебном 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Стародубцева Геннадия Николаевича, </w:t>
      </w:r>
      <w:r>
        <w:rPr>
          <w:rStyle w:val="cat-ExternalSystemDefinedgrp-26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работающего, регистрации не имеющего, проживающего по адресу: </w:t>
      </w:r>
      <w:r>
        <w:rPr>
          <w:rStyle w:val="cat-UserDefinedgrp-27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 час. 01 мин.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ХМАО-Югра, г. Нефтеюганск, </w:t>
      </w:r>
      <w:r>
        <w:rPr>
          <w:rStyle w:val="cat-UserDefinedgrp-27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Стародубцев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ч. 1 ст. 32.2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>86-290844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23.04.2024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04.05.2024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ему </w:t>
      </w:r>
      <w:r>
        <w:rPr>
          <w:rFonts w:ascii="Times New Roman" w:eastAsia="Times New Roman" w:hAnsi="Times New Roman" w:cs="Times New Roman"/>
          <w:sz w:val="26"/>
          <w:szCs w:val="26"/>
        </w:rPr>
        <w:t>23.04.2024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Стародубцев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признал вину в совершении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ивного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 в полном объеме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Инвалидом </w:t>
      </w:r>
      <w:r>
        <w:rPr>
          <w:rFonts w:ascii="Times New Roman" w:eastAsia="Times New Roman" w:hAnsi="Times New Roman" w:cs="Times New Roman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>II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группы не является.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Стародубцева Г.Н.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административного дела, считает, что вин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>Стародубцева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№ </w:t>
      </w:r>
      <w:r>
        <w:rPr>
          <w:rFonts w:ascii="Times New Roman" w:eastAsia="Times New Roman" w:hAnsi="Times New Roman" w:cs="Times New Roman"/>
          <w:sz w:val="26"/>
          <w:szCs w:val="26"/>
        </w:rPr>
        <w:t>291702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Стародубцев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подписью </w:t>
      </w:r>
      <w:r>
        <w:rPr>
          <w:rFonts w:ascii="Times New Roman" w:eastAsia="Times New Roman" w:hAnsi="Times New Roman" w:cs="Times New Roman"/>
          <w:sz w:val="26"/>
          <w:szCs w:val="26"/>
        </w:rPr>
        <w:t>Стародубцева Г.Н.</w:t>
      </w:r>
      <w:r>
        <w:rPr>
          <w:rFonts w:ascii="Times New Roman" w:eastAsia="Times New Roman" w:hAnsi="Times New Roman" w:cs="Times New Roman"/>
          <w:sz w:val="26"/>
          <w:szCs w:val="26"/>
        </w:rPr>
        <w:t>, о том, что с данным протоколом ознакомлен, 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 ОР ППСП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86-290844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23.04.2024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Стародубцев Г.Н.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подвергнут административному наказанию, предусмотренному ч. 1 ст. 20.20 КоАП РФ в виде административного штрафа в размере 500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04.05.2024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29.07.2024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Стародубцев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доставлен в дежурную часть УМВД ОМВД по гор. Нефтеюганску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 час.;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Стародубцева Г.Н.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отдельном бланке на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Стародубцева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Стародубцев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течении календарного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неоднократно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привлекался к административной ответственности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>20 главе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Стародубцевым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об оплате штрафа отсутствуют.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Стародубцева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 1 ст. 20.25 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ных правонарушениях, «Неуплата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Кодексом Российской Федерации об административных правонарушениях».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Стародубцева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ранее привлекавшегося к административной ответственности по ч. 1 ст. 20.25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20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положения ст. 3.1, ч. 2 ст. 4.1 Кодекса Российской Федерации об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Стародубцеву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Сведений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Стародубцев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30.1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widowControl w:val="0"/>
        <w:spacing w:before="0" w:after="16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Стародубцева Геннадия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>, признать виновным в совершении 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пять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ареста исчислять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момента административного задержания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с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в Нефтеюганский районный суд Ханты-Мансийского автономного округа – Югры с подачей апелляционной жалобы через мирового судью. В этот же срок постановление может быть опротестовано прокурором.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                    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160" w:line="259" w:lineRule="auto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7">
    <w:name w:val="cat-ExternalSystemDefined grp-26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7rplc-15">
    <w:name w:val="cat-UserDefined grp-27 rplc-15"/>
    <w:basedOn w:val="DefaultParagraphFont"/>
  </w:style>
  <w:style w:type="character" w:customStyle="1" w:styleId="cat-UserDefinedgrp-28rplc-57">
    <w:name w:val="cat-UserDefined grp-28 rplc-57"/>
    <w:basedOn w:val="DefaultParagraphFont"/>
  </w:style>
  <w:style w:type="character" w:customStyle="1" w:styleId="cat-UserDefinedgrp-29rplc-60">
    <w:name w:val="cat-UserDefined grp-29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